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4B" w:rsidRDefault="00A1634B">
      <w:pPr>
        <w:rPr>
          <w:rFonts w:ascii="Arial" w:hAnsi="Arial" w:cs="Arial"/>
          <w:sz w:val="32"/>
          <w:szCs w:val="32"/>
        </w:rPr>
      </w:pPr>
      <w:r>
        <w:rPr>
          <w:rFonts w:ascii="Arial" w:hAnsi="Arial" w:cs="Arial"/>
          <w:sz w:val="32"/>
          <w:szCs w:val="32"/>
        </w:rPr>
        <w:t>COVID – 19 TERMS</w:t>
      </w:r>
    </w:p>
    <w:p w:rsidR="00A1634B" w:rsidRDefault="00A1634B">
      <w:pPr>
        <w:rPr>
          <w:rFonts w:ascii="Arial" w:hAnsi="Arial" w:cs="Arial"/>
          <w:sz w:val="32"/>
          <w:szCs w:val="32"/>
        </w:rPr>
      </w:pPr>
    </w:p>
    <w:p w:rsidR="001F3F46" w:rsidRDefault="001F3F46">
      <w:pPr>
        <w:rPr>
          <w:rFonts w:ascii="Arial" w:hAnsi="Arial" w:cs="Arial"/>
          <w:sz w:val="32"/>
          <w:szCs w:val="32"/>
        </w:rPr>
      </w:pPr>
      <w:r w:rsidRPr="001F3F46">
        <w:rPr>
          <w:rFonts w:ascii="Arial" w:hAnsi="Arial" w:cs="Arial"/>
          <w:sz w:val="32"/>
          <w:szCs w:val="32"/>
        </w:rPr>
        <w:t>The initial MOA is effective from July 20, 2021 through June 30, 2022.</w:t>
      </w:r>
    </w:p>
    <w:p w:rsidR="00A1634B" w:rsidRPr="001F3F46" w:rsidRDefault="00A1634B">
      <w:pPr>
        <w:rPr>
          <w:rFonts w:ascii="Arial" w:hAnsi="Arial" w:cs="Arial"/>
          <w:sz w:val="32"/>
          <w:szCs w:val="32"/>
        </w:rPr>
      </w:pPr>
    </w:p>
    <w:p w:rsidR="002C3B6C" w:rsidRPr="001F3F46" w:rsidRDefault="001F3F46">
      <w:pPr>
        <w:rPr>
          <w:rFonts w:ascii="Arial" w:hAnsi="Arial" w:cs="Arial"/>
          <w:sz w:val="32"/>
          <w:szCs w:val="32"/>
        </w:rPr>
      </w:pPr>
      <w:r w:rsidRPr="001F3F46">
        <w:rPr>
          <w:rFonts w:ascii="Arial" w:hAnsi="Arial" w:cs="Arial"/>
          <w:sz w:val="32"/>
          <w:szCs w:val="32"/>
        </w:rPr>
        <w:t xml:space="preserve">Our primary concern is the health and safety of our consumers, staff, and partners. During the term of this Agreement, Executive Orders or other safety protocol as mandated by OVR, may limit or prohibit in-person services. The vendor must comply with the following procedures when in person services are prohibited:  </w:t>
      </w:r>
    </w:p>
    <w:p w:rsidR="001F3F46" w:rsidRPr="001F3F46" w:rsidRDefault="001F3F46">
      <w:pPr>
        <w:rPr>
          <w:rFonts w:ascii="Arial" w:hAnsi="Arial" w:cs="Arial"/>
          <w:sz w:val="32"/>
          <w:szCs w:val="32"/>
        </w:rPr>
      </w:pPr>
      <w:r w:rsidRPr="001F3F46">
        <w:rPr>
          <w:rFonts w:ascii="Arial" w:hAnsi="Arial" w:cs="Arial"/>
          <w:sz w:val="32"/>
          <w:szCs w:val="32"/>
        </w:rPr>
        <w:t>Substantive services must continue to be provided to consumers. Substantive services may include but are not limited to resources for distance service delivery listed at: http://www.wintac.org/content/resources-</w:t>
      </w:r>
      <w:r w:rsidR="0047174E">
        <w:rPr>
          <w:rFonts w:ascii="Arial" w:hAnsi="Arial" w:cs="Arial"/>
          <w:sz w:val="32"/>
          <w:szCs w:val="32"/>
        </w:rPr>
        <w:t xml:space="preserve">distance-service-delivery#tech </w:t>
      </w:r>
      <w:bookmarkStart w:id="0" w:name="_GoBack"/>
      <w:bookmarkEnd w:id="0"/>
      <w:r w:rsidRPr="001F3F46">
        <w:rPr>
          <w:rFonts w:ascii="Arial" w:hAnsi="Arial" w:cs="Arial"/>
          <w:sz w:val="32"/>
          <w:szCs w:val="32"/>
        </w:rPr>
        <w:t xml:space="preserve">Distance Service Delivery  </w:t>
      </w:r>
    </w:p>
    <w:p w:rsidR="001F3F46" w:rsidRPr="001F3F46" w:rsidRDefault="001F3F46">
      <w:pPr>
        <w:rPr>
          <w:rFonts w:ascii="Arial" w:hAnsi="Arial" w:cs="Arial"/>
          <w:sz w:val="32"/>
          <w:szCs w:val="32"/>
        </w:rPr>
      </w:pPr>
      <w:r w:rsidRPr="001F3F46">
        <w:rPr>
          <w:rFonts w:ascii="Arial" w:hAnsi="Arial" w:cs="Arial"/>
          <w:sz w:val="32"/>
          <w:szCs w:val="32"/>
        </w:rPr>
        <w:t>In order for services to be reimbursed, substantive services must be rendered.</w:t>
      </w:r>
    </w:p>
    <w:p w:rsidR="001F3F46" w:rsidRPr="001F3F46" w:rsidRDefault="001F3F46">
      <w:pPr>
        <w:rPr>
          <w:rFonts w:ascii="Arial" w:hAnsi="Arial" w:cs="Arial"/>
          <w:sz w:val="32"/>
          <w:szCs w:val="32"/>
        </w:rPr>
      </w:pPr>
      <w:r w:rsidRPr="001F3F46">
        <w:rPr>
          <w:rFonts w:ascii="Arial" w:hAnsi="Arial" w:cs="Arial"/>
          <w:sz w:val="32"/>
          <w:szCs w:val="32"/>
        </w:rPr>
        <w:t>Service providers may implement accessible training activities using a computer-based training platform that allows for face-to-face interaction. As part of this process, the service provider must ensure the consumer’s ability to actively participate in computer-based training, including identifying whether the customer has the computer resources available.</w:t>
      </w:r>
    </w:p>
    <w:p w:rsidR="001F3F46" w:rsidRPr="001F3F46" w:rsidRDefault="001F3F46">
      <w:pPr>
        <w:rPr>
          <w:rFonts w:ascii="Arial" w:hAnsi="Arial" w:cs="Arial"/>
          <w:sz w:val="32"/>
          <w:szCs w:val="32"/>
        </w:rPr>
      </w:pPr>
      <w:r w:rsidRPr="001F3F46">
        <w:rPr>
          <w:rFonts w:ascii="Arial" w:hAnsi="Arial" w:cs="Arial"/>
          <w:sz w:val="32"/>
          <w:szCs w:val="32"/>
        </w:rPr>
        <w:t>Prior to providing services on a remote basis to OVR consumers, a plan of service must be submitted to the OVR Administrator detailing the proposed methods of providing remote services.</w:t>
      </w:r>
    </w:p>
    <w:p w:rsidR="001F3F46" w:rsidRPr="001F3F46" w:rsidRDefault="001F3F46">
      <w:pPr>
        <w:rPr>
          <w:rFonts w:ascii="Arial" w:hAnsi="Arial" w:cs="Arial"/>
          <w:sz w:val="32"/>
          <w:szCs w:val="32"/>
        </w:rPr>
      </w:pPr>
      <w:r w:rsidRPr="001F3F46">
        <w:rPr>
          <w:rFonts w:ascii="Arial" w:hAnsi="Arial" w:cs="Arial"/>
          <w:sz w:val="32"/>
          <w:szCs w:val="32"/>
        </w:rPr>
        <w:t>The provider must have written OVR approval of the proposed plan of service prior to</w:t>
      </w:r>
      <w:r w:rsidRPr="001F3F46">
        <w:rPr>
          <w:rFonts w:ascii="Arial" w:hAnsi="Arial" w:cs="Arial"/>
          <w:sz w:val="32"/>
          <w:szCs w:val="32"/>
        </w:rPr>
        <w:br/>
        <w:t>implementation of remote services.</w:t>
      </w:r>
    </w:p>
    <w:sectPr w:rsidR="001F3F46" w:rsidRPr="001F3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46"/>
    <w:rsid w:val="001F3F46"/>
    <w:rsid w:val="002C3B6C"/>
    <w:rsid w:val="0047174E"/>
    <w:rsid w:val="004C1A41"/>
    <w:rsid w:val="00A1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0553"/>
  <w15:chartTrackingRefBased/>
  <w15:docId w15:val="{FBC16DCF-9559-445A-BBD0-AEF5B332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Trina</dc:creator>
  <cp:keywords/>
  <dc:description/>
  <cp:lastModifiedBy>Hewlett, Trina</cp:lastModifiedBy>
  <cp:revision>3</cp:revision>
  <dcterms:created xsi:type="dcterms:W3CDTF">2021-09-13T19:36:00Z</dcterms:created>
  <dcterms:modified xsi:type="dcterms:W3CDTF">2021-09-13T20:01:00Z</dcterms:modified>
</cp:coreProperties>
</file>